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OG V 24 23 vom 9. Dezember 2024</w:t>
      </w:r>
    </w:p>
    <w:p>
      <w:r>
        <w:t>UR Obergericht, 2024-12-09, DE</w:t>
      </w:r>
    </w:p>
    <w:p>
      <w:r>
        <w:rPr>
          <w:b/>
        </w:rPr>
        <w:t xml:space="preserve">Quelle: </w:t>
      </w:r>
      <w:r>
        <w:t>https://mcp.opencaselaw.ch/entscheid/ur_gerichte_OG V 24 23</w:t>
      </w:r>
    </w:p>
    <w:p>
      <w:r>
        <w:t>FR: UR_GERICHTE OG V 24 23 du 9 décembre 2024</w:t>
      </w:r>
    </w:p>
    <w:p>
      <w:r>
        <w:t>IT: UR_GERICHTE OG V 24 23 del 9 dicembre 2024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Gegen Verfügungen des Regierungsrates ist die Verwaltungsgerichtsbeschwerde an das Oberge- richt zulässig, soweit die Gesetzgebung den Weiterzug nicht ausschliesst oder anderswie regelt (Art. 54 Abs. 1 und 2 lit. a Verordnung über die Verwaltungsrechtspflege [VRPV, RB 2.2345]). Ein Ausschluss oder eine abweichende Regelung ist im vorliegenden Fall nicht vorgesehen. Die Zuständigkeit des Obergerichts des Kantons Uri (Verwaltungsrechtliche Abteilung) ist gegeben.</w:t>
      </w:r>
    </w:p>
    <w:p>
      <w:r>
        <w:rPr>
          <w:b/>
        </w:rPr>
        <w:t>E. 1.2</w:t>
      </w:r>
    </w:p>
    <w:p>
      <w:r>
        <w:t>Derjenige, der den Rückzug der Beschwerde erklärt, will das eingereichte Rechtsmittel nicht wei- ter aufrechterhalten. Damit entfällt das schutzwürdige Interesse an der Aufhebung oder Änderung des angefochtenen Entscheids, womit das angehobene Rechtsmittelverfahren gegenstandslos wird (vgl. Art. 64 i.V.m. Art. 46 Abs. 1 lit. a VRPV). Ein Beschwerderückzug ist möglich, bis die Rechtsmittelinstanz ihren Entscheid eröffnet hat (Cavelti/Vögeli, Verwaltungsgerichtsbarkeit im Kanton St. Gallen, 2. Aufl., St. Gallen 2003, Rz. 1040). Der Beschwerdeführer hat seine Verwaltungsgerichtsbeschwerde mit Erklä- rung vom 4. Dezember 2024 zurückgezogen. Zufolge Rückzugs ist die Verwaltungsgerichtsbeschwerde am Geschäftsprotokoll abzuschreiben.</w:t>
      </w:r>
    </w:p>
    <w:p>
      <w:r>
        <w:rPr>
          <w:b/>
        </w:rPr>
        <w:t>E. 1.3</w:t>
      </w:r>
    </w:p>
    <w:p>
      <w:r>
        <w:t>Prozessentscheide ohne Sachurteil fallen in die Zuständigkeit der Vorsitzenden der Abteilung (Art. 37g i.V.m. Art. 25a Abs. 3 lit. b Gerichtsorganisationsgesetz [GOG, RB 2.3221]).</w:t>
      </w:r>
    </w:p>
    <w:p>
      <w:r>
        <w:t>Seite 3 von 4</w:t>
      </w:r>
    </w:p>
    <w:p>
      <w:r>
        <w:rPr>
          <w:b/>
        </w:rPr>
        <w:t>E. 2</w:t>
      </w:r>
    </w:p>
    <w:p>
      <w:r>
        <w:t>Umständehalber kann von einer Kostenauflage ausnahmsweise abgesehen werden (vgl. Art. 34 Abs. 4 VRPV). Ein Anspruch auf Parteientschädigung besteht nicht (Art. 37 Abs. 2 VRPV e contrario).</w:t>
      </w:r>
    </w:p>
    <w:p>
      <w:r>
        <w:t>Seite 4 von 4 Das Obergericht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